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D45" w:rsidRPr="00043D45" w:rsidRDefault="00043D45" w:rsidP="00043D45">
      <w:pPr>
        <w:spacing w:after="0" w:line="240" w:lineRule="auto"/>
        <w:outlineLvl w:val="2"/>
        <w:rPr>
          <w:rFonts w:ascii="Verdana" w:eastAsia="Times New Roman" w:hAnsi="Verdana" w:cs="Times New Roman"/>
          <w:b/>
          <w:bCs/>
          <w:color w:val="000000"/>
          <w:sz w:val="28"/>
          <w:szCs w:val="28"/>
          <w:lang w:eastAsia="ru-RU"/>
        </w:rPr>
      </w:pPr>
      <w:r w:rsidRPr="00043D45">
        <w:rPr>
          <w:rFonts w:ascii="Verdana" w:eastAsia="Times New Roman" w:hAnsi="Verdana" w:cs="Times New Roman"/>
          <w:b/>
          <w:bCs/>
          <w:color w:val="000000"/>
          <w:sz w:val="28"/>
          <w:szCs w:val="28"/>
          <w:lang w:eastAsia="ru-RU"/>
        </w:rPr>
        <w:t>Внесены изменения в законодательство в части поэтапного повышения с 01.01.2017 года пенсионного возраста государственным и муниципальным служащим</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Федеральным законом от 23.05.2016 № 143-ФЗ внесены соответствующие изменения в отдельные законодательные акты Российской Федерации в части увеличения пенсионного возраста отдельным категориям граждан. А именно, о поэтапном повышении пенсионного возраста для назначения страховой пенсии по старости для государственных гражданских служащих и муниципальных служащих.</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Законом предусмотрено повышение пенсионного возраста для назначения страховой пенсии по старости в период замещения государственных должностей, муниципальных должностей, должностей государственной гражданской и муниципальной службы.</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 2017 году этот возраст составит 55 лет и 6 месяцев для женщин, 60 лет и 6 месяцев для мужчин, и т.д. до 2032 года, в котором установлен пенсионный возраст 63 года для женщин и 65 для мужчин.</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Кроме того, Законом также предусмотрено увеличение с 60 до 65 лет предельного возраста пребывания на гражданской службе. Также будет поэтапно увеличиваться стаж государственной гражданской службы, муниципальной службы для назначения пенсии за выслугу лет с 15 лет 6 месяцев в 2017 году до 20 лет в 2026 году и последующих годах.</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Одновременно увеличен минимальный срок исполнения полномочий члена Совета Федерации или депутата Государственной Думы, необходимый для получения ежемесячной доплаты к пенсии (при исполнении полномочий от 5 до 10 лет (ранее от 1 до 3-х лет) - 55 процентов ежемесячного денежного вознаграждения члена Совета Федерации и депутата Госдумы, а при исполнении полномочий 10 лет и более (ранее свыше 3-х лет) - 75 процентов).</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Федеральный закон № 143-ФЗ опубликован на официальном интернет-портале правовой информации 23.05.2016, а также в Российской газете № 111 от 25.05.2016, вступает в силу с 1 января 2017 года.</w:t>
      </w:r>
    </w:p>
    <w:p w:rsidR="00043D45" w:rsidRPr="00043D45" w:rsidRDefault="00043D45" w:rsidP="00043D45">
      <w:pPr>
        <w:spacing w:after="0" w:line="240" w:lineRule="auto"/>
        <w:outlineLvl w:val="2"/>
        <w:rPr>
          <w:rFonts w:ascii="Verdana" w:eastAsia="Times New Roman" w:hAnsi="Verdana" w:cs="Times New Roman"/>
          <w:b/>
          <w:bCs/>
          <w:color w:val="000000"/>
          <w:sz w:val="28"/>
          <w:szCs w:val="28"/>
          <w:lang w:eastAsia="ru-RU"/>
        </w:rPr>
      </w:pPr>
      <w:r w:rsidRPr="00043D45">
        <w:rPr>
          <w:rFonts w:ascii="Verdana" w:eastAsia="Times New Roman" w:hAnsi="Verdana" w:cs="Times New Roman"/>
          <w:b/>
          <w:bCs/>
          <w:color w:val="000000"/>
          <w:sz w:val="28"/>
          <w:szCs w:val="28"/>
          <w:lang w:eastAsia="ru-RU"/>
        </w:rPr>
        <w:t>Уточнены условия освобождения от уголовной ответственности в связи с деятельным раскаянием</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Федеральным законом от 02.06.2016 №164-ФЗ внесены изменения в статью 75 Уголовного кодекса Российской Федерации.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Данный Федеральный закон направлен на устранение выявленной в процессе правоприменительной практики неопределенности нормы Уголовного кодекса Российской Федерации (далее – УК РФ), определяющей условия освобождения от уголовной ответственности в связи с деятельным раскаянием.</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Так, в часть 1 статьи 75 УКРФ внесены изменения, согласно которым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ущерб или иным образом загладило вред, причиненный этим преступлением, и вследствие деятельного раскаяния перестало быть общественно опасным.</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Таким образом, уточняется раскрытию и расследованию какого преступления должен способствовать виновный и ущерб, за какое преступление подлежит возмещению.</w:t>
      </w:r>
    </w:p>
    <w:p w:rsidR="00043D45" w:rsidRPr="00043D45" w:rsidRDefault="00043D45" w:rsidP="00043D45">
      <w:pPr>
        <w:spacing w:after="0" w:line="240" w:lineRule="auto"/>
        <w:outlineLvl w:val="2"/>
        <w:rPr>
          <w:rFonts w:ascii="Verdana" w:eastAsia="Times New Roman" w:hAnsi="Verdana" w:cs="Times New Roman"/>
          <w:b/>
          <w:bCs/>
          <w:color w:val="000000"/>
          <w:sz w:val="28"/>
          <w:szCs w:val="28"/>
          <w:lang w:eastAsia="ru-RU"/>
        </w:rPr>
      </w:pPr>
      <w:r w:rsidRPr="00043D45">
        <w:rPr>
          <w:rFonts w:ascii="Verdana" w:eastAsia="Times New Roman" w:hAnsi="Verdana" w:cs="Times New Roman"/>
          <w:b/>
          <w:bCs/>
          <w:color w:val="000000"/>
          <w:sz w:val="28"/>
          <w:szCs w:val="28"/>
          <w:lang w:eastAsia="ru-RU"/>
        </w:rPr>
        <w:t>Расширен перечень случаев для досрочного прекращения полномочий депутата Государственной Думы</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Федеральным законом от 03.05.2016 № 140-ФЗ внесены изменения в статью 4 Федерального закона «О статусе члена Совета Федерации и статусе депутата Государственной Думы Федерального Собрания Российской Федерации».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Согласно поправкам к Закону о статусе члена Совета Федерации и статусе депутата Государственной Думы депутаты обязаны поддерживать связь с избирателями, рассматривать обращения, лично вести прием граждан не реже чем раз в 2 месяца, проводить встречи с избирателями не реже чем раз в полгода, принимать личное участие в заседаниях соответствующей палаты ФС РФ, комитета, комиссии, согласительной и специальной комиссий, членами которых они являются.</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Установлено, что в случае неисполнения указанных обязанностей в течение 30 и более календарных дней полномочия депутата могут быть прекращены решением Госдумы досрочно. Это будет возможно по инициативе фракции, в которой он состоит, или по инициативе комитета, членом которого он является. Судьбу депутатов-прогульщиков будет решать комиссия по депутатской этике.</w:t>
      </w:r>
    </w:p>
    <w:p w:rsidR="00043D45" w:rsidRPr="00043D45" w:rsidRDefault="00043D45" w:rsidP="00043D45">
      <w:pPr>
        <w:spacing w:after="0" w:line="240" w:lineRule="auto"/>
        <w:outlineLvl w:val="2"/>
        <w:rPr>
          <w:rFonts w:ascii="Verdana" w:eastAsia="Times New Roman" w:hAnsi="Verdana" w:cs="Times New Roman"/>
          <w:b/>
          <w:bCs/>
          <w:color w:val="000000"/>
          <w:sz w:val="28"/>
          <w:szCs w:val="28"/>
          <w:lang w:eastAsia="ru-RU"/>
        </w:rPr>
      </w:pPr>
      <w:r w:rsidRPr="00043D45">
        <w:rPr>
          <w:rFonts w:ascii="Verdana" w:eastAsia="Times New Roman" w:hAnsi="Verdana" w:cs="Times New Roman"/>
          <w:b/>
          <w:bCs/>
          <w:color w:val="000000"/>
          <w:sz w:val="28"/>
          <w:szCs w:val="28"/>
          <w:lang w:eastAsia="ru-RU"/>
        </w:rPr>
        <w:t> </w:t>
      </w:r>
    </w:p>
    <w:p w:rsidR="00043D45" w:rsidRPr="00043D45" w:rsidRDefault="00043D45" w:rsidP="00043D45">
      <w:pPr>
        <w:spacing w:after="0" w:line="240" w:lineRule="auto"/>
        <w:outlineLvl w:val="2"/>
        <w:rPr>
          <w:rFonts w:ascii="Verdana" w:eastAsia="Times New Roman" w:hAnsi="Verdana" w:cs="Times New Roman"/>
          <w:b/>
          <w:bCs/>
          <w:color w:val="000000"/>
          <w:sz w:val="28"/>
          <w:szCs w:val="28"/>
          <w:lang w:eastAsia="ru-RU"/>
        </w:rPr>
      </w:pPr>
      <w:r w:rsidRPr="00043D45">
        <w:rPr>
          <w:rFonts w:ascii="Verdana" w:eastAsia="Times New Roman" w:hAnsi="Verdana" w:cs="Times New Roman"/>
          <w:b/>
          <w:bCs/>
          <w:color w:val="000000"/>
          <w:sz w:val="28"/>
          <w:szCs w:val="28"/>
          <w:lang w:eastAsia="ru-RU"/>
        </w:rPr>
        <w:t>Средства материнского капитала не являются совместно нажитым имуществом супругов и не могут быть разделены между ними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Верховный Суд Российской Федерации в своем Определении от 26 января 2016 года № 18-КГ15-224 разъяснил, что средства материнского капитала, не являются совместно нажитым имуществом супругов и не могут быть разделены между ними. Приходя к данному выводу Верховный Суд РФ исходил из следующих норм законодательства.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lastRenderedPageBreak/>
        <w:t>В соответствии с подпунктом 1 пункта 3 статьи 7 Федерального закона от 29 декабря 2006 года № 256-ФЗ «О дополнительных мерах государственной поддержки семей, имеющих детей» лица, получившие сертификат, могут распоряжаться средствами материнского (семейного) капитала в полном объеме либо по частям, в том числе на улучшение жилищных условий.</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 подпункте 1 пункта 1 статьи 10 данного Федерального закона указано, что средства (часть средств) материнского (семейного) капитала в соответствии с заявлением о распоряжении могут направляться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 силу пункта 4 статьи 10 Федерального закона «О дополнительных мерах государственной поддержки семей, имеющих детей» жилое помещение, приобретенное (построенное, реконструированное) с использованием средств (части средств) материнского (семейного) капитала, оформляется в общую собственность родителей, детей (в том числе первого, второго, третьего ребенка и последующих детей) с определением размера долей по соглашению.</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Таким образом, специально регулирующим соответствующие отношения Федеральным законом определен круг субъектов, в чью собственность поступает жилое помещение, приобретенное с использованием средств материнского капитала, и установлен вид собственности - общая долевая, возникающий у них на приобретенное жилье.</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 соответствии со статьями 38, 39 Семейного кодекса Российской Федерации разделу между супругами подлежит только общее имущество, нажитое ими во время брака. К нажитому во время брака имуществу (общему имуществу супругов) относятся в том числе полученные каждым из них денежные выплаты, не имеющие специального целевого назначения (пункт 2 статьи 34 Семейного кодекса Российской Федерации).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Между тем, имея специальное целевое назначение, средства материнского (семейного) капитала не являются совместно нажитым имуществом супругов и не могут быть разделены между ними.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Исходя из положений указанных норм права дети должны признаваться участниками долевой собственности на объект недвижимости, приобретенный (построенный, реконструированный) с использованием средств материнского капитала.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Таким образом, объект недвижимости подлежит разделу с учетом требований статей 38, 39 Семейного кодекса Российской Федерации и части 4 статьи 10 Федерального закона «О дополнительных мерах государственной поддержки семей, имеющих детей».</w:t>
      </w:r>
    </w:p>
    <w:p w:rsidR="00043D45" w:rsidRPr="00043D45" w:rsidRDefault="00043D45" w:rsidP="00043D45">
      <w:pPr>
        <w:spacing w:after="0" w:line="240" w:lineRule="auto"/>
        <w:outlineLvl w:val="1"/>
        <w:rPr>
          <w:rFonts w:ascii="Verdana" w:eastAsia="Times New Roman" w:hAnsi="Verdana" w:cs="Times New Roman"/>
          <w:b/>
          <w:bCs/>
          <w:color w:val="000000"/>
          <w:sz w:val="36"/>
          <w:szCs w:val="36"/>
          <w:lang w:eastAsia="ru-RU"/>
        </w:rPr>
      </w:pPr>
      <w:r w:rsidRPr="00043D45">
        <w:rPr>
          <w:rFonts w:ascii="Verdana" w:eastAsia="Times New Roman" w:hAnsi="Verdana" w:cs="Times New Roman"/>
          <w:b/>
          <w:bCs/>
          <w:color w:val="000000"/>
          <w:sz w:val="36"/>
          <w:szCs w:val="36"/>
          <w:lang w:eastAsia="ru-RU"/>
        </w:rPr>
        <w:t> </w:t>
      </w:r>
    </w:p>
    <w:p w:rsidR="00043D45" w:rsidRPr="00043D45" w:rsidRDefault="00043D45" w:rsidP="00043D45">
      <w:pPr>
        <w:spacing w:after="0" w:line="240" w:lineRule="auto"/>
        <w:outlineLvl w:val="1"/>
        <w:rPr>
          <w:rFonts w:ascii="Verdana" w:eastAsia="Times New Roman" w:hAnsi="Verdana" w:cs="Times New Roman"/>
          <w:b/>
          <w:bCs/>
          <w:color w:val="000000"/>
          <w:sz w:val="36"/>
          <w:szCs w:val="36"/>
          <w:lang w:eastAsia="ru-RU"/>
        </w:rPr>
      </w:pPr>
      <w:r w:rsidRPr="00043D45">
        <w:rPr>
          <w:rFonts w:ascii="Verdana" w:eastAsia="Times New Roman" w:hAnsi="Verdana" w:cs="Times New Roman"/>
          <w:b/>
          <w:bCs/>
          <w:color w:val="000000"/>
          <w:sz w:val="36"/>
          <w:szCs w:val="36"/>
          <w:lang w:eastAsia="ru-RU"/>
        </w:rPr>
        <w:t>Что грозит за вождение в состоянии опьянения?</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Водителям запрещается управление автомобилем в состоянии алкогольного, наркотического или иного опьянения (п. 2.7 Правил дорожного движения Российской Федерации).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 случае выявления у водителя признаков опьянения он отстраняется от управления автомобилем и направляется на освидетельствование на наличие (отсутствие) состояния алкогольного опьянения и медицинское освидетельствование на состояние опьянения.</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Под состоянием опьянения понимается алкогольное опьянение водителя, а также наличие в его организме наркотических и психотропных веществ.</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 настоящее время алкогольное опьянение устанавливается с помощью специальных приборов - алкотестеров путем исследования выдыхаемого водителем воздуха на наличие в нем паров этилового спирта, а наркотическое и психотропное опьянение - путем проведения химико-токсикологического исследования биологической жидкости (урины) водителя. Проводить исследования на установление состояния наркотического опьянения имеют право только специализированные врачи, имеющие соответствующее разрешение, в специальных лицензированных медицинских учреждениях. Также проводить такие исследования имеют право сотрудники полиции (инспекторы ГИБДД). Причем для проведения исследований закон устанавливает обязательные основания - визуальное наличие у водителя хотя бы одного из признаков опьянения. Этих признаков всего пять: запах алкоголя изо рта, неустойчивость позы, нарушение речи, резкое изменение окраски кожных покровов лица, поведение, не соответствующее обстановке (п. 3 Правил освидетельствования, утв. Постановлением Правительства РФ от 26.06.2008 № 475).</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Ответственность за управление транспортным средством в состоянии опьянения и связанные с этим нарушения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При установлении состояния опьянения инспектор ГИБДД составляет протокол, который вместе с другими процессуальными документами по делу (актом освидетельствования, объяснениями, иными протоколами и др.) направляет судье для рассмотрения административного дела, поскольку по таким правонарушениям постановление выносит только судья.</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lastRenderedPageBreak/>
        <w:t>Если в ходе рассмотрения дела в действиях (бездействии) лица будут установлены признаки состава преступления, судья выносит постановление о прекращении производства по делу об административном правонарушении и передает материалы дела прокурору, в орган предварительного следствия или в орган дознания.</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Действующее уголовное законодательство предусматривает два вида уголовно наказуемых деяний, совершенных в состоянии опьянения, за которые предусмотрены наказания: от штрафа до лишения свободы на разные сроки. Однако во всех случаях в виде дополнительного наказания применяется лишение права занимать определенные должности или заниматься определенной деятельностью сроком на три года.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Статья 264 Уголовного кодекса РФ устанавливает ответственность за нарушение гражданином, управляющим транспортным средством в состоянии опьянения, Правил дорожного движения или эксплуатации транспорта, повлекшее по неосторожности причинение: тяжкого вреда здоровью человека, смерть человека, смерть двух или более лиц.</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 зависимости от тяжести наступивших последствий виновному может быть назначено наказание в виде принудительных работ на срок от 2 месяцев до трех лет либо лишние свободы на срок до 9 лет.</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Вид наказания «принудительные работы» введен в УК РФ в 2011 году и будет применяться с 01.01.2017. Принудительные работы заключаются в привлечении осужденного к труду в местах, определяемых учреждениями и органами уголовно-исполнительной системы (далее - УИС).</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Из заработной платы осужденного к принудительным работам производятся удержания в доход государства в размере, установленном приговором суда, и в пределах от пяти до двадцати процентов.</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 случае уклонения осужденного от отбывания принудительных работ они заменяются лишением свободы из расчета один день лишения свободы за один день принудительных работ.</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женщинам и мужчинам, достигшим пенсионного возраста, а также военнослужащим.</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Статьей 264.1 установлена уголовная ответственность за управление транспортным средством лицом, находящимся в состоянии опьянения, если: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 водитель подвергался административному наказанию за управление транспортным средством в состоянии опьянения или за невыполнение требования должностного лица о прохождении медицинского освидетельствования на состояние опьянения.</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 водитель имел судимость за нарушение Правил дорожного движения или эксплуатации транспортного средства, совершенное в состоянии опьянения и повлекшее по неосторожности тяжкий вред здоровью либо смерть человека или двух и более лиц.</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Следует отметить, что для наступления ответственности по ст. 264.1 УК РФ не нужно совершения дорожно-транспортного происшествия с тяжкими последствиями. Достаточно самого факта управления транспортным средством в нетрезвом состоянии при наличии судимости либо административного наказания, о чем говорилось выше.</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 этом случае водитель подвергается наказанию в виде штрафа в размере от 200 000 до 300 000 руб. или в размере заработной платы или иного дохода осужденного за период от года до двух лет, либо обязательных работ на срок от 60 до 480 часов, либо принудительных работ на срок до двух лет, либо лишением свободы на срок до двух лет.</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043D45" w:rsidRPr="00043D45" w:rsidRDefault="00043D45" w:rsidP="00043D45">
      <w:pPr>
        <w:spacing w:after="0" w:line="240" w:lineRule="auto"/>
        <w:outlineLvl w:val="1"/>
        <w:rPr>
          <w:rFonts w:ascii="Verdana" w:eastAsia="Times New Roman" w:hAnsi="Verdana" w:cs="Times New Roman"/>
          <w:b/>
          <w:bCs/>
          <w:color w:val="000000"/>
          <w:sz w:val="36"/>
          <w:szCs w:val="36"/>
          <w:lang w:eastAsia="ru-RU"/>
        </w:rPr>
      </w:pPr>
      <w:r w:rsidRPr="00043D45">
        <w:rPr>
          <w:rFonts w:ascii="Verdana" w:eastAsia="Times New Roman" w:hAnsi="Verdana" w:cs="Times New Roman"/>
          <w:b/>
          <w:bCs/>
          <w:color w:val="000000"/>
          <w:sz w:val="36"/>
          <w:szCs w:val="36"/>
          <w:lang w:eastAsia="ru-RU"/>
        </w:rPr>
        <w:t> </w:t>
      </w:r>
    </w:p>
    <w:p w:rsidR="00043D45" w:rsidRPr="00043D45" w:rsidRDefault="00043D45" w:rsidP="00043D45">
      <w:pPr>
        <w:spacing w:after="0" w:line="240" w:lineRule="auto"/>
        <w:outlineLvl w:val="1"/>
        <w:rPr>
          <w:rFonts w:ascii="Verdana" w:eastAsia="Times New Roman" w:hAnsi="Verdana" w:cs="Times New Roman"/>
          <w:b/>
          <w:bCs/>
          <w:color w:val="000000"/>
          <w:sz w:val="36"/>
          <w:szCs w:val="36"/>
          <w:lang w:eastAsia="ru-RU"/>
        </w:rPr>
      </w:pPr>
      <w:r w:rsidRPr="00043D45">
        <w:rPr>
          <w:rFonts w:ascii="Verdana" w:eastAsia="Times New Roman" w:hAnsi="Verdana" w:cs="Times New Roman"/>
          <w:b/>
          <w:bCs/>
          <w:color w:val="000000"/>
          <w:sz w:val="36"/>
          <w:szCs w:val="36"/>
          <w:lang w:eastAsia="ru-RU"/>
        </w:rPr>
        <w:t>В Правила дорожного движения включено понятие «опасное вождение».</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Согласно дополнению, внесенному в п. 2.7 Правил дорожного движения Российской Федерации постановлением Правительства Российской Федерации от 30.05.2016 № 477, опасное вождение представляет собой неоднократное совершение одного или нескольких следующих друг за другом действий, если эти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К таким действиям относятся: невыполнение при перестроении требования уступить дорогу транспортному средству, пользующемуся преимущественным правом движения; перестроение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несоблюдение безопасной дистанции до движущегося впереди транспортного средства; несоблюдение бокового интервала; резкое торможение, если такое торможение не требуется для предотвращения дорожно-транспортного происшествия, препятствовании обгону.</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lastRenderedPageBreak/>
        <w:t>Документ вступил в силу 08.06.2016 года.</w:t>
      </w:r>
    </w:p>
    <w:p w:rsidR="00043D45" w:rsidRPr="00043D45" w:rsidRDefault="00043D45" w:rsidP="00043D45">
      <w:pPr>
        <w:spacing w:after="0" w:line="240" w:lineRule="auto"/>
        <w:outlineLvl w:val="1"/>
        <w:rPr>
          <w:rFonts w:ascii="Verdana" w:eastAsia="Times New Roman" w:hAnsi="Verdana" w:cs="Times New Roman"/>
          <w:b/>
          <w:bCs/>
          <w:color w:val="000000"/>
          <w:sz w:val="36"/>
          <w:szCs w:val="36"/>
          <w:lang w:eastAsia="ru-RU"/>
        </w:rPr>
      </w:pPr>
      <w:r w:rsidRPr="00043D45">
        <w:rPr>
          <w:rFonts w:ascii="Verdana" w:eastAsia="Times New Roman" w:hAnsi="Verdana" w:cs="Times New Roman"/>
          <w:b/>
          <w:bCs/>
          <w:color w:val="000000"/>
          <w:sz w:val="36"/>
          <w:szCs w:val="36"/>
          <w:lang w:eastAsia="ru-RU"/>
        </w:rPr>
        <w:t> </w:t>
      </w:r>
    </w:p>
    <w:p w:rsidR="00043D45" w:rsidRPr="00043D45" w:rsidRDefault="00043D45" w:rsidP="00043D45">
      <w:pPr>
        <w:spacing w:after="0" w:line="240" w:lineRule="auto"/>
        <w:outlineLvl w:val="1"/>
        <w:rPr>
          <w:rFonts w:ascii="Verdana" w:eastAsia="Times New Roman" w:hAnsi="Verdana" w:cs="Times New Roman"/>
          <w:b/>
          <w:bCs/>
          <w:color w:val="000000"/>
          <w:sz w:val="36"/>
          <w:szCs w:val="36"/>
          <w:lang w:eastAsia="ru-RU"/>
        </w:rPr>
      </w:pPr>
      <w:r w:rsidRPr="00043D45">
        <w:rPr>
          <w:rFonts w:ascii="Verdana" w:eastAsia="Times New Roman" w:hAnsi="Verdana" w:cs="Times New Roman"/>
          <w:b/>
          <w:bCs/>
          <w:color w:val="000000"/>
          <w:sz w:val="36"/>
          <w:szCs w:val="36"/>
          <w:lang w:eastAsia="ru-RU"/>
        </w:rPr>
        <w:t>О начислении платы за коммунальные ресурсы, потребляемые при содержании общего имущества в многоквартирном доме</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Федеральным законом от 30.03.2016 № 73-ФЗ «О внесении изменений в статью 12 Федерального закона «О внесении изменений в Жилищный кодекс Российской Федерации и отдельные законодательные акты Российской Федерации» до января 2017 года отложено применение положений пункта 2 части 1 и пункта 1 части 2 статьи 154, части 1 статьи 156 Жилищного кодекса Российской Федерации, предусматривающих включение в состав платы за содержание жилого помещения расходов на оплату холодной и горячей воды, электроэнергии,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В соответствии с ранее действовавшей редакцией закона перечисленные услуги подлежали включению в общую оплату с 1 апреля 2016 года.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При первоначальном включении в плату за содержание жилого помещения расходов на коммунальные услуги, потребляемые при содержании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года.</w:t>
      </w:r>
    </w:p>
    <w:p w:rsidR="00043D45" w:rsidRPr="00043D45" w:rsidRDefault="00043D45" w:rsidP="00043D45">
      <w:pPr>
        <w:spacing w:after="0" w:line="240" w:lineRule="auto"/>
        <w:outlineLvl w:val="1"/>
        <w:rPr>
          <w:rFonts w:ascii="Verdana" w:eastAsia="Times New Roman" w:hAnsi="Verdana" w:cs="Times New Roman"/>
          <w:b/>
          <w:bCs/>
          <w:color w:val="000000"/>
          <w:sz w:val="36"/>
          <w:szCs w:val="36"/>
          <w:lang w:eastAsia="ru-RU"/>
        </w:rPr>
      </w:pPr>
      <w:r w:rsidRPr="00043D45">
        <w:rPr>
          <w:rFonts w:ascii="Verdana" w:eastAsia="Times New Roman" w:hAnsi="Verdana" w:cs="Times New Roman"/>
          <w:b/>
          <w:bCs/>
          <w:color w:val="000000"/>
          <w:sz w:val="36"/>
          <w:szCs w:val="36"/>
          <w:lang w:eastAsia="ru-RU"/>
        </w:rPr>
        <w:t> </w:t>
      </w:r>
    </w:p>
    <w:p w:rsidR="00043D45" w:rsidRPr="00043D45" w:rsidRDefault="00043D45" w:rsidP="00043D45">
      <w:pPr>
        <w:spacing w:after="0" w:line="240" w:lineRule="auto"/>
        <w:outlineLvl w:val="1"/>
        <w:rPr>
          <w:rFonts w:ascii="Verdana" w:eastAsia="Times New Roman" w:hAnsi="Verdana" w:cs="Times New Roman"/>
          <w:b/>
          <w:bCs/>
          <w:color w:val="000000"/>
          <w:sz w:val="36"/>
          <w:szCs w:val="36"/>
          <w:lang w:eastAsia="ru-RU"/>
        </w:rPr>
      </w:pPr>
      <w:r w:rsidRPr="00043D45">
        <w:rPr>
          <w:rFonts w:ascii="Verdana" w:eastAsia="Times New Roman" w:hAnsi="Verdana" w:cs="Times New Roman"/>
          <w:b/>
          <w:bCs/>
          <w:color w:val="000000"/>
          <w:sz w:val="36"/>
          <w:szCs w:val="36"/>
          <w:lang w:eastAsia="ru-RU"/>
        </w:rPr>
        <w:t>С 1июля 2016 года изменяются правила розничной торговли сигаретами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Федеральным законом от 26.04.2016 № 115-ФЗ "О внесении изменения в статью 19 Федерального закона "Об охране здоровья граждан от воздействия окружающего табачного дыма и последствий потребления табака" статья 19 Федерального закона от 23.02.2013 № 15-ФЗ «Об охране здоровья граждан от воздействия окружающего табачного дыма и последствий потребления табака» дополняется положением, согласно которому запрещается розничная торговля сигаретами, если в единице потребительской упаковки (пачке) количество сигарет будет превышать двадцать штук.</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Отдельно оговорено, что розничная торговля сигаретами, содержащимися в количестве более чем двадцать штук в пачке и произведенными на территории Российской Федерации или импортированными на территорию Российской Федерации до 1 июля 2016 года, допускается до их полной реализации.</w:t>
      </w:r>
    </w:p>
    <w:p w:rsidR="00043D45" w:rsidRPr="00043D45" w:rsidRDefault="00043D45" w:rsidP="00043D45">
      <w:pPr>
        <w:spacing w:after="0" w:line="240" w:lineRule="auto"/>
        <w:outlineLvl w:val="1"/>
        <w:rPr>
          <w:rFonts w:ascii="Verdana" w:eastAsia="Times New Roman" w:hAnsi="Verdana" w:cs="Times New Roman"/>
          <w:b/>
          <w:bCs/>
          <w:color w:val="000000"/>
          <w:sz w:val="36"/>
          <w:szCs w:val="36"/>
          <w:lang w:eastAsia="ru-RU"/>
        </w:rPr>
      </w:pPr>
      <w:r w:rsidRPr="00043D45">
        <w:rPr>
          <w:rFonts w:ascii="Verdana" w:eastAsia="Times New Roman" w:hAnsi="Verdana" w:cs="Times New Roman"/>
          <w:b/>
          <w:bCs/>
          <w:color w:val="000000"/>
          <w:sz w:val="36"/>
          <w:szCs w:val="36"/>
          <w:lang w:eastAsia="ru-RU"/>
        </w:rPr>
        <w:t> </w:t>
      </w:r>
    </w:p>
    <w:p w:rsidR="00043D45" w:rsidRPr="00043D45" w:rsidRDefault="00043D45" w:rsidP="00043D45">
      <w:pPr>
        <w:spacing w:after="0" w:line="240" w:lineRule="auto"/>
        <w:outlineLvl w:val="1"/>
        <w:rPr>
          <w:rFonts w:ascii="Verdana" w:eastAsia="Times New Roman" w:hAnsi="Verdana" w:cs="Times New Roman"/>
          <w:b/>
          <w:bCs/>
          <w:color w:val="000000"/>
          <w:sz w:val="36"/>
          <w:szCs w:val="36"/>
          <w:lang w:eastAsia="ru-RU"/>
        </w:rPr>
      </w:pPr>
      <w:r w:rsidRPr="00043D45">
        <w:rPr>
          <w:rFonts w:ascii="Verdana" w:eastAsia="Times New Roman" w:hAnsi="Verdana" w:cs="Times New Roman"/>
          <w:b/>
          <w:bCs/>
          <w:color w:val="000000"/>
          <w:sz w:val="36"/>
          <w:szCs w:val="36"/>
          <w:lang w:eastAsia="ru-RU"/>
        </w:rPr>
        <w:t>Изменились требования, предъявляемые к агитационным материалам</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05 апреля 2016 года Президент Российской Федерации В.В. Путин подписал закон, изменяющий требования к материалам предвыборной агитации.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Так, Федеральным законом от 05.04.2016 № 92-ФЗ "О внесении изменений в статьи 48 и 54 Федерального закона "Об основных гаранта избирательных прав и права на участие в референдуме граждан Российской Федерации" и статьи 62 и 68 Федерального закона "О выборах депутат Государственной Думы Федерального Собрания Российской Федерации полностью запрещено привлекать к предвыборной агитации или агитации по вопросам референдума лиц, не достигших на день голосования возраста 18 лет. Это касается использования как изображений, так и высказываний детей. Раньше такой запрет уже существовал, но не распространялся на собственных детей кандидата.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Ужесточен порядок использования изображений граждан в агитационных материалах. До внесения поправок допускалось применение в предвыборной агитации изображений любых лиц с их письменного согласия. По новым правилам можно использовать только фотографии самого кандидата, в том числе среди неопределенного круга лиц. Если же речь идет об агитации перед референдумом, действуют прежние требования.</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Кроме того, теперь не допускается использование в агитационных материалах высказываний лиц, не имеющих права проводить предвыборную агитацию. К ним относятся священнослужители, иностранцы, сотрудники воинских частей и т.д. Высказывания прочих граждан, как и раньше, можно использовать только с их письменного согласия.</w:t>
      </w:r>
    </w:p>
    <w:p w:rsidR="00043D45" w:rsidRPr="00043D45" w:rsidRDefault="00043D45" w:rsidP="00043D45">
      <w:pPr>
        <w:spacing w:after="0" w:line="240" w:lineRule="auto"/>
        <w:jc w:val="both"/>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Нововведения действуют в отношении всех выборов назначенных после 5 апреля</w:t>
      </w:r>
      <w:r w:rsidRPr="00043D45">
        <w:rPr>
          <w:rFonts w:ascii="Verdana" w:eastAsia="Times New Roman" w:hAnsi="Verdana" w:cs="Times New Roman"/>
          <w:color w:val="000000"/>
          <w:sz w:val="28"/>
          <w:szCs w:val="28"/>
          <w:lang w:eastAsia="ru-RU"/>
        </w:rPr>
        <w:t> 2016 года.</w:t>
      </w:r>
    </w:p>
    <w:p w:rsidR="00043D45" w:rsidRPr="00043D45" w:rsidRDefault="00043D45" w:rsidP="00043D45">
      <w:pPr>
        <w:spacing w:after="0" w:line="240" w:lineRule="auto"/>
        <w:jc w:val="center"/>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Федеральным </w:t>
      </w:r>
      <w:hyperlink r:id="rId5" w:history="1">
        <w:r w:rsidRPr="00043D45">
          <w:rPr>
            <w:rFonts w:ascii="Verdana" w:eastAsia="Times New Roman" w:hAnsi="Verdana" w:cs="Times New Roman"/>
            <w:color w:val="0000FF"/>
            <w:sz w:val="17"/>
            <w:szCs w:val="17"/>
            <w:u w:val="single"/>
            <w:lang w:eastAsia="ru-RU"/>
          </w:rPr>
          <w:t>закон</w:t>
        </w:r>
      </w:hyperlink>
      <w:r w:rsidRPr="00043D45">
        <w:rPr>
          <w:rFonts w:ascii="Verdana" w:eastAsia="Times New Roman" w:hAnsi="Verdana" w:cs="Times New Roman"/>
          <w:color w:val="000000"/>
          <w:sz w:val="17"/>
          <w:szCs w:val="17"/>
          <w:lang w:eastAsia="ru-RU"/>
        </w:rPr>
        <w:t>ом от 29.12.2015 N 395-ФЗ "О внесении изменений в статью 54 Федерального закона "О государственной гражданской службе Российской Федерации" и статьи 9 и 25 Федерального закона "О муниципальной службе в Российской Федерации" унифицированы подходы к исчислению стажа муниципальной службы в субъектах РФ</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lastRenderedPageBreak/>
        <w:t>В частности, определены периоды замещения должностей, которые во всех случаях включаются в стаж муниципальной службы. К ним относятся, в частности, периоды замещения должностей муниципальной службы, муниципальных должностей, государственных должностей РФ и государственных должностей субъектов РФ, должностей государственной гражданской службы РФ, воинских должностей и должностей федеральной государственной службы иных видов.</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Установлено, кроме того, что в стаж муниципальной службы для определения продолжительности ежегодного дополнительного оплачиваемого отпуска за выслугу лет и установления других гарантий, предусмотренных федеральными законами, законами субъектов РФ и уставами муниципальных образований для муниципальных служащих, включаются (засчитываются) также периоды замещения должностей, включаемые (засчитываемые) в стаж государственной гражданской службы.</w:t>
      </w:r>
    </w:p>
    <w:p w:rsidR="00043D45" w:rsidRPr="00043D45" w:rsidRDefault="00043D45" w:rsidP="00043D45">
      <w:pPr>
        <w:spacing w:after="0" w:line="240" w:lineRule="auto"/>
        <w:jc w:val="center"/>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В целях совершенствования законодательства о банкротстве Федеральным </w:t>
      </w:r>
      <w:hyperlink r:id="rId6" w:history="1">
        <w:r w:rsidRPr="00043D45">
          <w:rPr>
            <w:rFonts w:ascii="Verdana" w:eastAsia="Times New Roman" w:hAnsi="Verdana" w:cs="Times New Roman"/>
            <w:color w:val="0000FF"/>
            <w:sz w:val="17"/>
            <w:szCs w:val="17"/>
            <w:u w:val="single"/>
            <w:lang w:eastAsia="ru-RU"/>
          </w:rPr>
          <w:t>закон</w:t>
        </w:r>
      </w:hyperlink>
      <w:r w:rsidRPr="00043D45">
        <w:rPr>
          <w:rFonts w:ascii="Verdana" w:eastAsia="Times New Roman" w:hAnsi="Verdana" w:cs="Times New Roman"/>
          <w:color w:val="000000"/>
          <w:sz w:val="17"/>
          <w:szCs w:val="17"/>
          <w:lang w:eastAsia="ru-RU"/>
        </w:rPr>
        <w:t>ом от 29.12.2015 N 391-ФЗ внесены поправки в целый ряд законодательных актов</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Изменения внесены, в том числе, в Основы законодательства Российской Федерации о нотариате, Семейный кодекс РФ, КоАП РФ, Трудовой кодекс РФ, Арбитражный процессуальный кодекс РФ, федеральные законы "Об оценочной деятельности в Российской Федерации", "О несостоятельности (банкротстве)", "О государственной регистрации юридических лиц и индивидуальных предпринимателей", "О приватизации государственного и муниципального имущества", "О государственном кадастре недвижимости", "О дополнительных мерах по поддержке финансовой системы Российской Федерации" и др.</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Среди нововведений, предусмотренных Федеральным законом, можно выделить:</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установление процедуры реализации преимущественного права на приобретение нотариусами, занимающимися частной практикой, и нотариальными палатами помещений, находящихся в государственной или муниципальной собственности, в целях осуществления нотариальной деятельности;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введение обязательного нотариального удостоверения сделок по продаже земельной доли, сделок по продаже доли в праве общей собственности постороннему лицу, сделок, связанных с распоряжением недвижимым имуществом на условиях доверительного управления или опеки, а также сделок по продаже недвижимого имущества, принадлежащего несовершеннолетнему или гражданину, признанному ограниченно дееспособным;</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совершение нотариальных действий в электронной форме;</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регламентацию порядка осуществления нотариусом полномочий в деле о банкротстве умершего гражданина или гражданина, объявленного умершим;</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внесение членами нотариальной палаты членского взноса в нотариальную палату в размере 50 процентов нотариального тарифа, взимаемого за регистрацию уведомлений о залоге движимого имущества, направленных в электронной форме;</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определение документов и сведений, необходимых для совершения исполнительной надписи, порядка уведомления должника о совершении исполнительной надписи, и уточнение ее содержания;</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обеспечение информационной открытости процедуры оценки в определенных случаях;</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увеличение минимального размера компенсационного фонда саморегулируемой организации арбитражных управляющих с 20 миллионов до 50 миллионов рублей в Федеральном законе "О несостоятельности (банкротстве)";</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установление административной ответственности, в том числе за повторное совершение правонарушения, которое выражается в неисполнении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не содержит уголовно наказуемого деяния;</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определение особенностей признания недействительными сделок застройщика и урегулирования обязательств застройщика перед участниками строительства;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уточнение условий и порядка банкротства гражданина в случае его смерти, порядка признания банкротом гражданина, являющегося индивидуальным предпринимателем;</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установление требований к регистратору, осуществляющему ведение реестра владельцев ценных бумаг хозяйственных обществ, имеющих стратегическое значение для оборонно-промышленного комплекса и безопасности РФ, а также обществ, находящихся под их прямым или косвенным контролем (в том числе, в уставном капитале регистратора не должно быть долей участия нерезидентов).</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Федеральный закон вступает в силу со дня его официального опубликования, за исключением отдельных положений, для которых установлены иные сроки вступления в силу. Предусмотрены переходные положения и порядок применения отдельных положений Федерального закона.</w:t>
      </w:r>
    </w:p>
    <w:p w:rsidR="00043D45" w:rsidRPr="00043D45" w:rsidRDefault="00043D45" w:rsidP="00043D45">
      <w:pPr>
        <w:spacing w:after="0" w:line="240" w:lineRule="auto"/>
        <w:jc w:val="center"/>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Федеральным </w:t>
      </w:r>
      <w:hyperlink r:id="rId7" w:history="1">
        <w:r w:rsidRPr="00043D45">
          <w:rPr>
            <w:rFonts w:ascii="Verdana" w:eastAsia="Times New Roman" w:hAnsi="Verdana" w:cs="Times New Roman"/>
            <w:color w:val="0000FF"/>
            <w:sz w:val="17"/>
            <w:szCs w:val="17"/>
            <w:u w:val="single"/>
            <w:lang w:eastAsia="ru-RU"/>
          </w:rPr>
          <w:t>закон</w:t>
        </w:r>
      </w:hyperlink>
      <w:r w:rsidRPr="00043D45">
        <w:rPr>
          <w:rFonts w:ascii="Verdana" w:eastAsia="Times New Roman" w:hAnsi="Verdana" w:cs="Times New Roman"/>
          <w:color w:val="000000"/>
          <w:sz w:val="17"/>
          <w:szCs w:val="17"/>
          <w:lang w:eastAsia="ru-RU"/>
        </w:rPr>
        <w:t>ом от 29.12.2015 N 399-ФЗ "О внесении изменений в статью 169 Жилищного кодекса Российской Федерации и статью 17 Федерального закона "О социальной защите инвалидов в Российской Федерации" за субъектами РФ закреплено право предоставления компенсации расходов по уплате взноса на капремонт для отдельных категорий пенсионеров</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xml:space="preserve">Законом субъекта РФ может быть предусмотрено предоставление компенсации расходов на уплату взноса на капремонт, рассчитанного исходя из минимального размера такого взноса на 1 кв. метр общей площади жилого помещения в месяц, установленного нормативным правовым актом субъекта РФ,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70 лет, - в размере 50 процентов, 80 лет, - в размере 100 процентов, а также проживающим в </w:t>
      </w:r>
      <w:r w:rsidRPr="00043D45">
        <w:rPr>
          <w:rFonts w:ascii="Verdana" w:eastAsia="Times New Roman" w:hAnsi="Verdana" w:cs="Times New Roman"/>
          <w:color w:val="000000"/>
          <w:sz w:val="17"/>
          <w:szCs w:val="17"/>
          <w:lang w:eastAsia="ru-RU"/>
        </w:rPr>
        <w:lastRenderedPageBreak/>
        <w:t>составе семьи, состоящей только из совместно проживающих неработающих граждан пенсионного возраста, собственникам жилых помещений, достигшим возраста 70 лет, - в размере 50 процентов, 80 лет, - в размере 100 процентов.</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Кроме того, в Федеральном законе "О социальной защите инвалидов в Российской Федерации" закреплено, что инвалидам I и II групп, детям-инвалидам, гражданам, имеющим детей-инвалидов, предоставляется компенсация расходов на уплату взноса на капремонт, но не более 50 процентов взноса, рассчитанного исходя из минимального размера такого взноса на 1 кв. метр общей площади жилого помещения в месяц, установленного нормативным правовым актом субъекта РФ,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Федеральный закон вступил в силу с 1 января 2016 года.</w:t>
      </w:r>
    </w:p>
    <w:p w:rsidR="00043D45" w:rsidRPr="00043D45" w:rsidRDefault="00043D45" w:rsidP="00043D45">
      <w:pPr>
        <w:spacing w:after="0" w:line="240" w:lineRule="auto"/>
        <w:jc w:val="center"/>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Разработаны рекомендации по установлению систем оплаты труда работников государственных и муниципальных учреждений на 2016 год.</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Системы оплаты труда работников государственных и муниципальных учреждений на федеральном, региональном и муниципальном уровнях формируются, в том числе, на основе обеспечения:</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равной оплаты за труд равной ценности, в том числе при установлении размеров тарифных ставок, окладов (должностных окладов), ставок заработной платы, выплат компенсационного и стимулирующего характера, недопущения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повышения уровня реального содержания заработной платы работников государственных и муниципальных учреждений и других гарантий по оплате труда, предусмотренных трудовым законодательством и иными нормативными правовыми актами РФ, содержащими нормы трудового права.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Рекомендации включают в себя:</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перечень норм и условий оплаты труда, которые являются обязательными для применения на территории РФ;</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системы оплаты труда в государственных (в том числе федеральных) и муниципальных учреждениях;</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порядок формирования фондов оплаты труда в государственных и муниципальных учреждениях, системы оплаты труда руководителей, их заместителей и главных бухгалтеров учреждений;</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особенности формирования систем оплаты труда работников сферы образования и здравоохранения, работников государственных и муниципальных учреждений культуры, искусства и кинематографии.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2016 году.</w:t>
      </w:r>
    </w:p>
    <w:p w:rsidR="00043D45" w:rsidRPr="00043D45" w:rsidRDefault="00043D45" w:rsidP="00043D45">
      <w:pPr>
        <w:spacing w:after="0" w:line="240" w:lineRule="auto"/>
        <w:jc w:val="center"/>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Продолжительность ожидаемого периода выплаты накопительной пенсии на 2016 год составит 234 месяца.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С 1 января 2016 года продолжительность ожидаемого периода выплаты накопительной пенсии определяется ежегодно на основании официальных статистических данных о продолжительности жизни получателей накопительной пенсии в соответствии с Методикой (утверждена Постановлением Правительства РФ от 02.06.2015 N 531).</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Поскольку рассчитанный таким образом период выплаты превышает максимальное значение, установленное на 2016 год (максимальные значения на 2016 - 2020 годы установлены приложением к Методике), Федеральным </w:t>
      </w:r>
      <w:hyperlink r:id="rId8" w:history="1">
        <w:r w:rsidRPr="00043D45">
          <w:rPr>
            <w:rFonts w:ascii="Verdana" w:eastAsia="Times New Roman" w:hAnsi="Verdana" w:cs="Times New Roman"/>
            <w:color w:val="0000FF"/>
            <w:sz w:val="17"/>
            <w:szCs w:val="17"/>
            <w:u w:val="single"/>
            <w:lang w:eastAsia="ru-RU"/>
          </w:rPr>
          <w:t>закон</w:t>
        </w:r>
      </w:hyperlink>
      <w:r w:rsidRPr="00043D45">
        <w:rPr>
          <w:rFonts w:ascii="Verdana" w:eastAsia="Times New Roman" w:hAnsi="Verdana" w:cs="Times New Roman"/>
          <w:color w:val="000000"/>
          <w:sz w:val="17"/>
          <w:szCs w:val="17"/>
          <w:lang w:eastAsia="ru-RU"/>
        </w:rPr>
        <w:t>ом от 29.12.2015 N 384-ФЗ</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"Об ожидаемом периоде выплаты накопительной пенсии на 2016 год" установлена продолжительность ожидаемого периода выплаты накопительной пенсии на 2016 год в соответствии с его максимальным значением - 234 месяца.</w:t>
      </w:r>
    </w:p>
    <w:p w:rsidR="00043D45" w:rsidRPr="00043D45" w:rsidRDefault="00043D45" w:rsidP="00043D45">
      <w:pPr>
        <w:spacing w:after="0" w:line="240" w:lineRule="auto"/>
        <w:jc w:val="center"/>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Федеральным </w:t>
      </w:r>
      <w:hyperlink r:id="rId9" w:history="1">
        <w:r w:rsidRPr="00043D45">
          <w:rPr>
            <w:rFonts w:ascii="Verdana" w:eastAsia="Times New Roman" w:hAnsi="Verdana" w:cs="Times New Roman"/>
            <w:color w:val="0000FF"/>
            <w:sz w:val="17"/>
            <w:szCs w:val="17"/>
            <w:u w:val="single"/>
            <w:lang w:eastAsia="ru-RU"/>
          </w:rPr>
          <w:t>закон</w:t>
        </w:r>
      </w:hyperlink>
      <w:r w:rsidRPr="00043D45">
        <w:rPr>
          <w:rFonts w:ascii="Verdana" w:eastAsia="Times New Roman" w:hAnsi="Verdana" w:cs="Times New Roman"/>
          <w:color w:val="000000"/>
          <w:sz w:val="17"/>
          <w:szCs w:val="17"/>
          <w:lang w:eastAsia="ru-RU"/>
        </w:rPr>
        <w:t>ом от 29.12.2015 N 385-ФЗ устанавливаются условия индексации пенсий, исходя из реальных экономических возможностей государства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Вместо действующего порядка применения индекса роста потребительских цен будет применяться установленный законом размер индексации - 4 процента.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Дополнительная индексация будет осуществляться по итогам первого полугодия 2016 года с учетом ситуации, складывающейся в экономике и социальной сфере.</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С 1 февраля 2016 года: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стоимость одного пенсионного (с учетом индексации) устанавливается в размере, равном 74,27 рубля.</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размер фиксированной выплаты к страховой пенсии по старости (с учетом индексации) устанавливается в сумме, равной 4 558,93 рубля.</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Индексация размера фиксированной выплаты к страховой пенсии не производятся пенсионерам, осуществлявшим работу и (или) иную деятельность.</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Если пенсионер прекратил трудовую деятельность в период с 1 октября 2015 года по 31 марта 2016 года, он может уведомить об этом ПФР, направив в срок по 31 мая 2016 года соответствующее заявление и подтверждающие документы.</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После рассмотрения заявления пенсионеру со следующего месяца начнется выплата страховой пенсии с учетом индексации.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lastRenderedPageBreak/>
        <w:t>Установлена ответственность работодателей за непредставление либо представление в ПФР неполных или недостоверных сведений, предусмотренных законом о персонифицированном учете, в срок не позднее 10 числа месяца, следующего за отчетным. Размер финансовой санкции составит 500 рублей в отношении сведений по каждому застрахованному лицу.</w:t>
      </w:r>
    </w:p>
    <w:p w:rsidR="00043D45" w:rsidRPr="00043D45" w:rsidRDefault="00043D45" w:rsidP="00043D45">
      <w:pPr>
        <w:spacing w:after="0" w:line="240" w:lineRule="auto"/>
        <w:jc w:val="center"/>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Принят Федеральный </w:t>
      </w:r>
      <w:hyperlink r:id="rId10" w:history="1">
        <w:r w:rsidRPr="00043D45">
          <w:rPr>
            <w:rFonts w:ascii="Verdana" w:eastAsia="Times New Roman" w:hAnsi="Verdana" w:cs="Times New Roman"/>
            <w:color w:val="0000FF"/>
            <w:sz w:val="17"/>
            <w:szCs w:val="17"/>
            <w:u w:val="single"/>
            <w:lang w:eastAsia="ru-RU"/>
          </w:rPr>
          <w:t>закон</w:t>
        </w:r>
      </w:hyperlink>
      <w:r w:rsidRPr="00043D45">
        <w:rPr>
          <w:rFonts w:ascii="Verdana" w:eastAsia="Times New Roman" w:hAnsi="Verdana" w:cs="Times New Roman"/>
          <w:color w:val="000000"/>
          <w:sz w:val="17"/>
          <w:szCs w:val="17"/>
          <w:lang w:eastAsia="ru-RU"/>
        </w:rPr>
        <w:t> от 29.12.2015 N 388-ФЗ, направленный на оптимизацию предоставления мер социальной поддержки с учетом применения критериев адресности и нуждаемости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Изменения, внесенные в ряд законодательных актов, позволят высвободить бюджетные ассигнования и направить их в том числе на цели социальной политики, включая предоставление мер поддержки тех граждан, которые действительно нуждаются в помощи.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Так, в частности, предоставление мер соцподдержки гражданам, подвергшимся воздействию радиации, детализировано с учетом срока постоянного проживания (работы) граждан в зонах отселения, проживания с правом на отселение, проживания с льготным социально-экономическим статусом.</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Сокращен перечень категорий ветеранов (исключены ветераны государственной службы).</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Исключено положение о выплате пособия на ребенка ежемесячно. Теперь законами и иными нормативными правовыми актами субъекта РФ будут устанавливаться размер, порядок назначения, индексации и выплаты данного пособия, включая условия и периодичность выплаты (не реже одного раза в квартал), в том числе с применением критериев нуждаемости.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Также приняты положения, устанавливающие правовые основания создания Единой государственной информационной системы социального обеспечения, задачами которой будут являться:</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ведение классификатора мер соцподдержки и перечня категорий получателей;</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предоставление информации об основаниях, условиях, способах, формах и фактах предоставления мер социальной защиты (поддержки), услуг и иных социальных гарантий и выплат;</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контроль соблюдения гарантированного объема и качества предоставленных услуг, гарантий и выплат.</w:t>
      </w:r>
    </w:p>
    <w:p w:rsidR="00043D45" w:rsidRPr="00043D45" w:rsidRDefault="00043D45" w:rsidP="00043D45">
      <w:pPr>
        <w:spacing w:after="0" w:line="240" w:lineRule="auto"/>
        <w:jc w:val="center"/>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br/>
        <w:t>***</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          Федеральным </w:t>
      </w:r>
      <w:hyperlink r:id="rId11" w:history="1">
        <w:r w:rsidRPr="00043D45">
          <w:rPr>
            <w:rFonts w:ascii="Verdana" w:eastAsia="Times New Roman" w:hAnsi="Verdana" w:cs="Times New Roman"/>
            <w:color w:val="0000FF"/>
            <w:sz w:val="17"/>
            <w:szCs w:val="17"/>
            <w:u w:val="single"/>
            <w:lang w:eastAsia="ru-RU"/>
          </w:rPr>
          <w:t>закон</w:t>
        </w:r>
      </w:hyperlink>
      <w:r w:rsidRPr="00043D45">
        <w:rPr>
          <w:rFonts w:ascii="Verdana" w:eastAsia="Times New Roman" w:hAnsi="Verdana" w:cs="Times New Roman"/>
          <w:color w:val="000000"/>
          <w:sz w:val="17"/>
          <w:szCs w:val="17"/>
          <w:lang w:eastAsia="ru-RU"/>
        </w:rPr>
        <w:t>ом от 29.12.2015 N 404-ФЗ "О внесении изменений в Федеральный закон "Об охране окружающей среды" и отдельные законодательные акты Российской Федерации" до 1 января 2017 года вводится переходный период в отношении деятельности в области обращения с твердыми коммунальными отходами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Указанный переходный период, в частности, относится к выбору регионального оператора по обращению с твердыми коммунальными отходами и введения коммунальной услуги по обращению с твердыми коммунальными отходами.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Законом также переносятся сроки введения нового порядка лицензирования деятельности в области обращения с твердыми коммунальными отходами с 1 января 2016 года на 1 января 2017 года.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Кроме того, конкретизировано, кто является плательщиком платы за негативное воздействие на окружающую среду, порядок и сроки ее внесения.</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Федеральный закон вступил в силу с 1 января 2016 года, за исключением отдельных положений, для которых установлены иные сроки.</w:t>
      </w:r>
    </w:p>
    <w:p w:rsidR="00043D45" w:rsidRPr="00043D45" w:rsidRDefault="00043D45" w:rsidP="00043D45">
      <w:pPr>
        <w:spacing w:after="0" w:line="240" w:lineRule="auto"/>
        <w:jc w:val="center"/>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w:t>
      </w:r>
      <w:hyperlink r:id="rId12" w:history="1">
        <w:r w:rsidRPr="00043D45">
          <w:rPr>
            <w:rFonts w:ascii="Verdana" w:eastAsia="Times New Roman" w:hAnsi="Verdana" w:cs="Times New Roman"/>
            <w:color w:val="0000FF"/>
            <w:sz w:val="17"/>
            <w:szCs w:val="17"/>
            <w:u w:val="single"/>
            <w:lang w:eastAsia="ru-RU"/>
          </w:rPr>
          <w:t>Обзор</w:t>
        </w:r>
      </w:hyperlink>
      <w:r w:rsidRPr="00043D45">
        <w:rPr>
          <w:rFonts w:ascii="Verdana" w:eastAsia="Times New Roman" w:hAnsi="Verdana" w:cs="Times New Roman"/>
          <w:color w:val="000000"/>
          <w:sz w:val="17"/>
          <w:szCs w:val="17"/>
          <w:lang w:eastAsia="ru-RU"/>
        </w:rPr>
        <w:t>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(утв. Президиумом Верховного Суда РФ 23.12.2015)</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 случае утраты гражданами одного из оснований, дающих им право на получение по договору социального найма жилых помещений муниципального жилищного фонда, граждане подлежат снятию с учета в качестве нуждающихся в жилых помещениях</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 рассматриваемом Обзоре судебной практики также приведены следующие выводы, в том числе:</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отсутствие принятого в порядке, установленном законом субъекта РФ, решения органа местного самоуправления о признании гражданина малоимущим может служить основанием для снятия такого гражданина с учета в качестве нуждающегося в жилом помещении;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 случае изменения состава семьи лица, состоящего на учете нуждающихся в жилых помещениях, расчет размера дохода и стоимости имущества (в целях подтверждения статуса малоимущих граждан) производится с учетом дохода каждого члена семьи, а также стоимости имущества, находящегося в их собственности, в том числе и лица, с учетом которого произошло изменение состава семьи;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граждане, принятые на учет нуждающихся в улучшении жилищных условий до 1 марта 2005 года в целях последующего предоставления им жилых помещений по договорам социального найма, не могут быть сняты с учета в связи с тем, что они не относятся к малоимущим гражданам;</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изменение органом местного самоуправления после постановки граждан на учет учетной нормы площади жилого помещения не может служить основанием для снятия граждан с учета в качестве нуждающихся в жилых помещениях, предоставляемых по договору социального найма;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приобретение гражданином, состоящим на учете, права собственности на жилое помещение, признанное в установленном порядке непригодным для проживания, не свидетельствует об улучшении его жилищных условий и не может являться основанием для снятия его с учета;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граждане могут быть сняты с учета в качестве нуждающихся в жилых помещениях, предоставляемых по договору социального найма, если из представленных ими документов в целях постановки на учет усматривалось, что не имелось оснований для постановки их на указанный учет.</w:t>
      </w:r>
    </w:p>
    <w:p w:rsidR="00043D45" w:rsidRPr="00043D45" w:rsidRDefault="00043D45" w:rsidP="00043D45">
      <w:pPr>
        <w:spacing w:after="0" w:line="240" w:lineRule="auto"/>
        <w:jc w:val="center"/>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hyperlink r:id="rId13" w:history="1">
        <w:r w:rsidRPr="00043D45">
          <w:rPr>
            <w:rFonts w:ascii="Verdana" w:eastAsia="Times New Roman" w:hAnsi="Verdana" w:cs="Times New Roman"/>
            <w:color w:val="0000FF"/>
            <w:sz w:val="17"/>
            <w:szCs w:val="17"/>
            <w:u w:val="single"/>
            <w:lang w:eastAsia="ru-RU"/>
          </w:rPr>
          <w:t>Постановление</w:t>
        </w:r>
      </w:hyperlink>
      <w:r w:rsidRPr="00043D45">
        <w:rPr>
          <w:rFonts w:ascii="Verdana" w:eastAsia="Times New Roman" w:hAnsi="Verdana" w:cs="Times New Roman"/>
          <w:color w:val="000000"/>
          <w:sz w:val="17"/>
          <w:szCs w:val="17"/>
          <w:lang w:eastAsia="ru-RU"/>
        </w:rPr>
        <w:t>м Правительства РФ от 23.12.2015 N 1406 "О внесении изменения в Правила продажи отдельных видов товаров" уточнены требования к оформлению ценников при продаже отдельных видов товаров</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Согласно изменениям, внесенным в Правила продажи отдельных видов товаров, утвержденные Постановлением Правительства РФ от 19.01.1998 N 55, допускается оформление ценников на бумажном или ином визуально доступном покупателям носителе информации, в том числе с электронным отображением информации, с использованием грифельных досок, стендов, световых табло.</w:t>
      </w:r>
    </w:p>
    <w:p w:rsidR="00043D45" w:rsidRPr="00043D45" w:rsidRDefault="00043D45" w:rsidP="00043D45">
      <w:pPr>
        <w:spacing w:after="0" w:line="240" w:lineRule="auto"/>
        <w:jc w:val="center"/>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hyperlink r:id="rId14" w:history="1">
        <w:r w:rsidRPr="00043D45">
          <w:rPr>
            <w:rFonts w:ascii="Verdana" w:eastAsia="Times New Roman" w:hAnsi="Verdana" w:cs="Times New Roman"/>
            <w:color w:val="0000FF"/>
            <w:sz w:val="17"/>
            <w:szCs w:val="17"/>
            <w:u w:val="single"/>
            <w:lang w:eastAsia="ru-RU"/>
          </w:rPr>
          <w:t>Постановление</w:t>
        </w:r>
      </w:hyperlink>
      <w:r w:rsidRPr="00043D45">
        <w:rPr>
          <w:rFonts w:ascii="Verdana" w:eastAsia="Times New Roman" w:hAnsi="Verdana" w:cs="Times New Roman"/>
          <w:color w:val="000000"/>
          <w:sz w:val="17"/>
          <w:szCs w:val="17"/>
          <w:lang w:eastAsia="ru-RU"/>
        </w:rPr>
        <w:t>м Правительства РФ от 19.12.2015 N 1382 утверждена программа государственных гарантий бесплатного оказания гражданам медицинской помощи на 2016 год</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Целью Программы является обеспечение конституционных прав граждан на медицинскую помощь за счет бюджетной системы РФ, в том числе бюджетов фондов обязательного медицинского страхования.</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Программой установлены перечень видов, форм и условий оказываемой бесплатно медицинской помощи, перечень заболеваний и состояний, медицинская помощь при которых оказывается бесплатно, средние нормативы объема медицинской помощи и средние подушевые нормативы финансирования, порядок и структура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ее предоставления, критериев доступности и качества.</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В целях обеспечения доступности медицинской помощи в рамках территориальных программ установлены предельные сроки ожидания оказания первичной неотложной помощи, приема пациентов участковыми врачами и врачами общей практики, проведения диагностических исследований, время доезда до пациента бригад скорой медицинской помощи.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Кроме того, конкретизированы источники финансирования мер, реализуемых в рамках национального календаря профилактических прививок, медицинской деятельности, связанной с донорством органов и тканей человека в целях трансплантации.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Средние нормативы объема медицинской помощи по видам и условиям ее предоставления установлены раздельно по источникам финансирования: за счет ассигнований региональных бюджетов и за счет субвенций ФОМС на финансирование базовой программы ОМС.</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Кроме того, разграничены и уточнены критерии доступности и качества медицинской помощи.</w:t>
      </w:r>
    </w:p>
    <w:p w:rsidR="00043D45" w:rsidRPr="00043D45" w:rsidRDefault="00043D45" w:rsidP="00043D45">
      <w:pPr>
        <w:spacing w:after="0" w:line="240" w:lineRule="auto"/>
        <w:jc w:val="center"/>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hyperlink r:id="rId15" w:history="1">
        <w:r w:rsidRPr="00043D45">
          <w:rPr>
            <w:rFonts w:ascii="Verdana" w:eastAsia="Times New Roman" w:hAnsi="Verdana" w:cs="Times New Roman"/>
            <w:color w:val="0000FF"/>
            <w:sz w:val="17"/>
            <w:szCs w:val="17"/>
            <w:u w:val="single"/>
            <w:lang w:eastAsia="ru-RU"/>
          </w:rPr>
          <w:t>Постановление</w:t>
        </w:r>
      </w:hyperlink>
      <w:r w:rsidRPr="00043D45">
        <w:rPr>
          <w:rFonts w:ascii="Verdana" w:eastAsia="Times New Roman" w:hAnsi="Verdana" w:cs="Times New Roman"/>
          <w:color w:val="000000"/>
          <w:sz w:val="17"/>
          <w:szCs w:val="17"/>
          <w:lang w:eastAsia="ru-RU"/>
        </w:rPr>
        <w:t>м Главного государственного санитарного врача РФ от 24.11.2015 N 81 "О внесении изменений N 3 в СанПиН 2.4.2.2821-10 "Санитарно-эпидемиологические требования к условиям и организации обучения, содержания в общеобразовательных организациях" (Зарегистрировано в Минюсте России 18.12.2015 N 40154) обновлены санитарно-эпидемиологические требования к условиям обучения в общеобразовательных организациях</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Уточняются максимально допустимые объемы недельной нагрузки, вводится максимально допустимый недельный объем нагрузки внеурочной деятельности.</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Устанавливается, помимо прочего, что при строительстве и реконструкции образовательных учреждений должны предусматриваться условия для создания условий обучения детей с ограниченными возможностями здоровья, обеспечиваться свободное передвижение таких детей в зданиях и помещениях. Также должно предусматриваться место стоянки автотранспортных средств, предназначенных для перевозки обучающихся, в том числе обучающихся с ограниченными возможностями здоровья.</w:t>
      </w:r>
    </w:p>
    <w:p w:rsidR="00043D45" w:rsidRPr="00043D45" w:rsidRDefault="00043D45" w:rsidP="00043D45">
      <w:pPr>
        <w:spacing w:after="0" w:line="240" w:lineRule="auto"/>
        <w:rPr>
          <w:rFonts w:ascii="Verdana" w:eastAsia="Times New Roman" w:hAnsi="Verdana" w:cs="Times New Roman"/>
          <w:color w:val="000000"/>
          <w:sz w:val="17"/>
          <w:szCs w:val="17"/>
          <w:lang w:eastAsia="ru-RU"/>
        </w:rPr>
      </w:pPr>
      <w:r w:rsidRPr="00043D45">
        <w:rPr>
          <w:rFonts w:ascii="Verdana" w:eastAsia="Times New Roman" w:hAnsi="Verdana" w:cs="Times New Roman"/>
          <w:color w:val="000000"/>
          <w:sz w:val="17"/>
          <w:szCs w:val="17"/>
          <w:lang w:eastAsia="ru-RU"/>
        </w:rPr>
        <w:t>Кроме того, вводятся дополнительные требования к гардеробам, размещению спортивного зала, переходам из одного здания образовательной организации в другое (при проектировании и строительстве нескольких зданий общеобразовательной организации, находящихся на одной территории).</w:t>
      </w:r>
    </w:p>
    <w:p w:rsidR="00430EF9" w:rsidRDefault="00430EF9">
      <w:bookmarkStart w:id="0" w:name="_GoBack"/>
      <w:bookmarkEnd w:id="0"/>
    </w:p>
    <w:sectPr w:rsidR="00430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34"/>
    <w:rsid w:val="00043D45"/>
    <w:rsid w:val="00430EF9"/>
    <w:rsid w:val="00E36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43D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43D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3D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43D4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43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3D45"/>
  </w:style>
  <w:style w:type="character" w:styleId="a4">
    <w:name w:val="Hyperlink"/>
    <w:basedOn w:val="a0"/>
    <w:uiPriority w:val="99"/>
    <w:semiHidden/>
    <w:unhideWhenUsed/>
    <w:rsid w:val="00043D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43D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43D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3D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43D4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43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3D45"/>
  </w:style>
  <w:style w:type="character" w:styleId="a4">
    <w:name w:val="Hyperlink"/>
    <w:basedOn w:val="a0"/>
    <w:uiPriority w:val="99"/>
    <w:semiHidden/>
    <w:unhideWhenUsed/>
    <w:rsid w:val="00043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3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B615E10864B625DFD8C761AB01CD78F20F9FA4A7BCD2D91E33AB424BI10DK" TargetMode="External"/><Relationship Id="rId13" Type="http://schemas.openxmlformats.org/officeDocument/2006/relationships/hyperlink" Target="consultantplus://offline/ref=30B35C95B53FE62556C7B6DBB62D74E1D9E7E5F1C912DA2A7A13A93BD7L2AEL" TargetMode="External"/><Relationship Id="rId3" Type="http://schemas.openxmlformats.org/officeDocument/2006/relationships/settings" Target="settings.xml"/><Relationship Id="rId7" Type="http://schemas.openxmlformats.org/officeDocument/2006/relationships/hyperlink" Target="consultantplus://offline/ref=51BB668F7EC89DB3EBDD346872CFAE5F0FCAF4243BB2CA8F92B11A9A7ApFy0K" TargetMode="External"/><Relationship Id="rId12" Type="http://schemas.openxmlformats.org/officeDocument/2006/relationships/hyperlink" Target="consultantplus://offline/ref=567510D05023E469DE7703F7D66C36E2ADA490FE46BC14649D46DC01C4u16BK"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326523D4AAE4D49F5C8DA367D4479DAD0BAFBA7EBD814B65FCAFA95CCO3y0K" TargetMode="External"/><Relationship Id="rId11" Type="http://schemas.openxmlformats.org/officeDocument/2006/relationships/hyperlink" Target="consultantplus://offline/ref=908210EE106FA6F2D9FDE80F363F0FEF2FF4F1967A19B052683250D303S930K" TargetMode="External"/><Relationship Id="rId5" Type="http://schemas.openxmlformats.org/officeDocument/2006/relationships/hyperlink" Target="consultantplus://offline/ref=83E7394685827F018E4265A961505145877D1F773F684D2D607A6C67C3b4xDK" TargetMode="External"/><Relationship Id="rId15" Type="http://schemas.openxmlformats.org/officeDocument/2006/relationships/hyperlink" Target="consultantplus://offline/ref=283FD4A01AC365821F3B47DC8B706CEFA4172DD9D11D21B99CF7C34A4CF9F7L" TargetMode="External"/><Relationship Id="rId10" Type="http://schemas.openxmlformats.org/officeDocument/2006/relationships/hyperlink" Target="consultantplus://offline/ref=C418BD18C89FE1B5D6ACE04F3C799DBBC95AA0D840CA03CECA4B7D4C2Fm20FK" TargetMode="External"/><Relationship Id="rId4" Type="http://schemas.openxmlformats.org/officeDocument/2006/relationships/webSettings" Target="webSettings.xml"/><Relationship Id="rId9" Type="http://schemas.openxmlformats.org/officeDocument/2006/relationships/hyperlink" Target="consultantplus://offline/ref=C418BD18C89FE1B5D6ACE04F3C799DBBC95AA0D840CE03CECA4B7D4C2Fm20FK" TargetMode="External"/><Relationship Id="rId14" Type="http://schemas.openxmlformats.org/officeDocument/2006/relationships/hyperlink" Target="consultantplus://offline/ref=7E4BED945EF4DDADD9F662AEA27BE2FECBBA98AC6C0B7794419AA9F0A7c5D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5975</Words>
  <Characters>34060</Characters>
  <Application>Microsoft Office Word</Application>
  <DocSecurity>0</DocSecurity>
  <Lines>283</Lines>
  <Paragraphs>79</Paragraphs>
  <ScaleCrop>false</ScaleCrop>
  <Company/>
  <LinksUpToDate>false</LinksUpToDate>
  <CharactersWithSpaces>39956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2017-01-12T04:54:00Z</dcterms:created>
  <dcterms:modified xsi:type="dcterms:W3CDTF">2017-01-12T04:54:00Z</dcterms:modified>
</cp:coreProperties>
</file>